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  <w:r>
        <w:rPr>
          <w:rFonts w:cstheme="minorHAnsi"/>
          <w:b/>
          <w:sz w:val="20"/>
          <w:szCs w:val="20"/>
          <w:u w:val="single"/>
        </w:rPr>
        <w:t>2024-2025 EĞİTİM ÖĞRETİM YILI KİMYA DERSİ</w:t>
      </w:r>
    </w:p>
    <w:p w:rsid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9.SINIF 2.DÖNEM 2.YAZILI SENARYOLARI</w:t>
      </w:r>
    </w:p>
    <w:p w:rsidR="00FE2774" w:rsidRP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SENARYO 2</w:t>
      </w:r>
    </w:p>
    <w:tbl>
      <w:tblPr>
        <w:tblStyle w:val="TabloKlavuzu"/>
        <w:tblpPr w:leftFromText="141" w:rightFromText="141" w:vertAnchor="text" w:horzAnchor="margin" w:tblpXSpec="center" w:tblpY="411"/>
        <w:tblW w:w="10035" w:type="dxa"/>
        <w:tblLayout w:type="fixed"/>
        <w:tblLook w:val="04A0" w:firstRow="1" w:lastRow="0" w:firstColumn="1" w:lastColumn="0" w:noHBand="0" w:noVBand="1"/>
      </w:tblPr>
      <w:tblGrid>
        <w:gridCol w:w="1110"/>
        <w:gridCol w:w="2571"/>
        <w:gridCol w:w="5429"/>
        <w:gridCol w:w="925"/>
      </w:tblGrid>
      <w:tr w:rsidR="00FE2774" w:rsidTr="00FE2774">
        <w:trPr>
          <w:trHeight w:val="8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FE2774" w:rsidRDefault="00FE2774" w:rsidP="003C73A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FE2774" w:rsidTr="00FE2774">
        <w:trPr>
          <w:trHeight w:val="72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774" w:rsidRDefault="00FE2774" w:rsidP="003C73AC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E2774" w:rsidRDefault="00FE2774" w:rsidP="003C73AC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ÇEŞİTLİLİK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KİM.9.2.7.Moleküller arası etkileşimleri sınıflandırır.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848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Katılar ve Özellikleri (Amorf ve Kristal Katılar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817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</w:p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</w:p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KİM.9.2.9 Sıvıların buhar basıncını etkileyen faktörlere ilişkin hipotez oluşturabilme.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882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813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KİM.9.2.11. Sıvıların viskozitesini etkileyen faktörlere ilişkin bilimsel gözlem yapabilme.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697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 yapabilme.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694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2774" w:rsidTr="00FE2774">
        <w:trPr>
          <w:trHeight w:val="70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774" w:rsidRDefault="00FE2774" w:rsidP="003C73AC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Sürdürülebilirlik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Metal nanoparçacıklar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KİM.9.3.1.Evsel atıklardan metal nanoparçacık elde etmek üzere deney yapabilme.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2774" w:rsidTr="00FE2774">
        <w:trPr>
          <w:trHeight w:val="699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4" w:rsidRDefault="00FE2774" w:rsidP="003C73AC">
            <w:pPr>
              <w:rPr>
                <w:rFonts w:eastAsia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Yeşil kimyanın atık önleme ilkesi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74" w:rsidRDefault="00FE2774" w:rsidP="003C7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KİM.9.3.2.Metal, alaşım ve metal nanoparçacıkların ekosistemdeki etkilerine ilişkin problem çözebilme.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4" w:rsidRDefault="00FE2774" w:rsidP="003C73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E2774" w:rsidRDefault="00FE2774"/>
    <w:p w:rsidR="00FE2774" w:rsidRDefault="00FE2774"/>
    <w:p w:rsidR="00FE2774" w:rsidRDefault="00FE2774"/>
    <w:p w:rsidR="00FE2774" w:rsidRDefault="00FE2774"/>
    <w:p w:rsidR="00FE2774" w:rsidRDefault="00FE2774"/>
    <w:p w:rsidR="00FE2774" w:rsidRDefault="00FE2774"/>
    <w:p w:rsidR="00FE2774" w:rsidRDefault="00FE2774"/>
    <w:p w:rsidR="00FE2774" w:rsidRDefault="00FE2774"/>
    <w:p w:rsid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2024-2025 EĞİTİM ÖĞRETİM YILI KİMYA DERSİ</w:t>
      </w:r>
    </w:p>
    <w:p w:rsid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10.SINIF 2.DÖNEM 2.YAZILI SENARYOLARI</w:t>
      </w:r>
    </w:p>
    <w:p w:rsidR="00FE2774" w:rsidRDefault="00FE2774" w:rsidP="00FE2774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SENARYO 6</w:t>
      </w:r>
    </w:p>
    <w:tbl>
      <w:tblPr>
        <w:tblStyle w:val="TableNormal"/>
        <w:tblW w:w="9930" w:type="dxa"/>
        <w:tblInd w:w="-4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816"/>
        <w:gridCol w:w="993"/>
      </w:tblGrid>
      <w:tr w:rsidR="00FE2774" w:rsidRPr="00FE2774" w:rsidTr="00FE2774">
        <w:trPr>
          <w:trHeight w:val="727"/>
        </w:trPr>
        <w:tc>
          <w:tcPr>
            <w:tcW w:w="3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keepNext/>
              <w:keepLines/>
              <w:spacing w:before="200"/>
              <w:jc w:val="center"/>
              <w:outlineLvl w:val="1"/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</w:pPr>
            <w:r w:rsidRPr="00FE2774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ÜNİTE ADI</w:t>
            </w:r>
          </w:p>
          <w:p w:rsidR="00FE2774" w:rsidRPr="00FE2774" w:rsidRDefault="00FE2774" w:rsidP="00FE2774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  <w:p w:rsidR="00FE2774" w:rsidRPr="00FE2774" w:rsidRDefault="00FE2774" w:rsidP="00FE2774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FE2774">
              <w:rPr>
                <w:rFonts w:eastAsia="Times New Roman" w:cs="Calibri"/>
                <w:b/>
                <w:sz w:val="20"/>
                <w:szCs w:val="20"/>
              </w:rPr>
              <w:t>KAZANIMLAR</w:t>
            </w:r>
          </w:p>
          <w:p w:rsidR="00FE2774" w:rsidRPr="00FE2774" w:rsidRDefault="00FE2774" w:rsidP="00FE2774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  <w:p w:rsidR="00FE2774" w:rsidRPr="00FE2774" w:rsidRDefault="00FE2774" w:rsidP="00FE2774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FE2774">
              <w:rPr>
                <w:rFonts w:eastAsia="Times New Roman" w:cs="Calibri"/>
                <w:b/>
                <w:sz w:val="20"/>
                <w:szCs w:val="20"/>
              </w:rPr>
              <w:t>SORU SAYISI</w:t>
            </w:r>
          </w:p>
        </w:tc>
      </w:tr>
      <w:tr w:rsidR="00FE2774" w:rsidRPr="00FE2774" w:rsidTr="00FE2774">
        <w:trPr>
          <w:trHeight w:val="225"/>
        </w:trPr>
        <w:tc>
          <w:tcPr>
            <w:tcW w:w="3121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1"/>
              <w:jc w:val="center"/>
              <w:rPr>
                <w:rFonts w:eastAsia="Arial" w:cs="Calibri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line="247" w:lineRule="auto"/>
              <w:ind w:left="439" w:right="120" w:hanging="301"/>
              <w:jc w:val="center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ASİTLER, BAZLAR VE TUZLAR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sz w:val="20"/>
                <w:szCs w:val="20"/>
                <w:lang w:eastAsia="en-US"/>
              </w:rPr>
              <w:t>10.3.1.1.Asitleri ve bazları bilinen özellikleri yardımıyla ayırteder.</w:t>
            </w: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sz w:val="20"/>
                <w:szCs w:val="20"/>
                <w:lang w:eastAsia="en-US"/>
              </w:rPr>
              <w:t>1</w:t>
            </w:r>
          </w:p>
        </w:tc>
      </w:tr>
      <w:tr w:rsidR="00FE2774" w:rsidRPr="00FE2774" w:rsidTr="00FE2774">
        <w:trPr>
          <w:trHeight w:val="225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FE2774" w:rsidRPr="00FE2774" w:rsidRDefault="00FE2774" w:rsidP="00FE2774">
            <w:pPr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pacing w:val="-1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pacing w:val="-1"/>
                <w:sz w:val="20"/>
                <w:szCs w:val="20"/>
                <w:lang w:eastAsia="en-US"/>
              </w:rPr>
              <w:t xml:space="preserve">10.3.2.1.Asitler ve bazlar </w:t>
            </w: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arasındaki tepkimeleri açıklar.</w:t>
            </w: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2</w:t>
            </w:r>
          </w:p>
        </w:tc>
      </w:tr>
      <w:tr w:rsidR="00FE2774" w:rsidRPr="00FE2774" w:rsidTr="00FE2774">
        <w:trPr>
          <w:trHeight w:val="457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FE2774" w:rsidRPr="00FE2774" w:rsidRDefault="00FE2774" w:rsidP="00FE2774">
            <w:pPr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pacing w:val="-1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pacing w:val="-1"/>
                <w:sz w:val="20"/>
                <w:szCs w:val="20"/>
                <w:lang w:eastAsia="en-US"/>
              </w:rPr>
              <w:t xml:space="preserve">10.3.2.2.Asitlerin ve bazların günlük </w:t>
            </w: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hayat açısından önemli tepkimelerini açıklar.</w:t>
            </w: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2</w:t>
            </w:r>
          </w:p>
        </w:tc>
      </w:tr>
      <w:tr w:rsidR="00FE2774" w:rsidRPr="00FE2774" w:rsidTr="00FE2774">
        <w:trPr>
          <w:trHeight w:val="457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FE2774" w:rsidRPr="00FE2774" w:rsidRDefault="00FE2774" w:rsidP="00FE2774">
            <w:pPr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pacing w:val="-1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pacing w:val="-1"/>
                <w:sz w:val="20"/>
                <w:szCs w:val="20"/>
                <w:lang w:eastAsia="en-US"/>
              </w:rPr>
              <w:t xml:space="preserve">10.3.3.2.Asit ve bazlarla çalışırken alınması </w:t>
            </w: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gereken sağlık ve güvenlik önlemlerini açıklar</w:t>
            </w: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1</w:t>
            </w:r>
          </w:p>
        </w:tc>
      </w:tr>
      <w:tr w:rsidR="00FE2774" w:rsidRPr="00FE2774" w:rsidTr="00FE2774">
        <w:trPr>
          <w:trHeight w:val="457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FE2774" w:rsidRPr="00FE2774" w:rsidRDefault="00FE2774" w:rsidP="00FE2774">
            <w:pPr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10.3.4.1.Tuzların özelliklerini ve kullanım alanlarını açıklar.</w:t>
            </w:r>
          </w:p>
          <w:p w:rsidR="00FE2774" w:rsidRPr="00FE2774" w:rsidRDefault="00FE2774" w:rsidP="00FE2774">
            <w:pPr>
              <w:spacing w:before="125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25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2</w:t>
            </w:r>
          </w:p>
        </w:tc>
      </w:tr>
      <w:tr w:rsidR="00FE2774" w:rsidRPr="00FE2774" w:rsidTr="00FE2774">
        <w:trPr>
          <w:trHeight w:val="613"/>
        </w:trPr>
        <w:tc>
          <w:tcPr>
            <w:tcW w:w="3121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11"/>
              <w:jc w:val="center"/>
              <w:rPr>
                <w:rFonts w:eastAsia="Arial" w:cs="Calibri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line="247" w:lineRule="auto"/>
              <w:ind w:left="313" w:right="122" w:hanging="184"/>
              <w:jc w:val="center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pacing w:val="-4"/>
                <w:sz w:val="20"/>
                <w:szCs w:val="20"/>
                <w:lang w:eastAsia="en-US"/>
              </w:rPr>
              <w:t xml:space="preserve">KİMYA HER </w:t>
            </w: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YERDE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7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10.4.1.1.Temizlik maddelerinin özelliklerini açıklar.</w:t>
            </w:r>
          </w:p>
          <w:p w:rsidR="00FE2774" w:rsidRPr="00FE2774" w:rsidRDefault="00FE2774" w:rsidP="00FE2774">
            <w:pPr>
              <w:spacing w:before="1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7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1</w:t>
            </w:r>
          </w:p>
        </w:tc>
      </w:tr>
      <w:tr w:rsidR="00FE2774" w:rsidRPr="00FE2774" w:rsidTr="00FE2774">
        <w:trPr>
          <w:trHeight w:val="613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FE2774" w:rsidRPr="00FE2774" w:rsidRDefault="00FE2774" w:rsidP="00FE2774">
            <w:pPr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7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"/>
              <w:ind w:left="80"/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10.4.1.2.Yaygın polimerlerin kullanım alanlarına örnekler verir.</w:t>
            </w:r>
          </w:p>
          <w:p w:rsidR="00FE2774" w:rsidRPr="00FE2774" w:rsidRDefault="00FE2774" w:rsidP="00FE2774">
            <w:pPr>
              <w:spacing w:before="1"/>
              <w:ind w:left="80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2774" w:rsidRPr="00FE2774" w:rsidRDefault="00FE2774" w:rsidP="00FE2774">
            <w:pPr>
              <w:spacing w:before="7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</w:p>
          <w:p w:rsidR="00FE2774" w:rsidRPr="00FE2774" w:rsidRDefault="00FE2774" w:rsidP="00FE2774">
            <w:pPr>
              <w:spacing w:before="1"/>
              <w:ind w:left="347"/>
              <w:rPr>
                <w:rFonts w:eastAsia="Arial" w:cs="Calibri"/>
                <w:sz w:val="20"/>
                <w:szCs w:val="20"/>
                <w:lang w:eastAsia="en-US"/>
              </w:rPr>
            </w:pPr>
            <w:r w:rsidRPr="00FE2774">
              <w:rPr>
                <w:rFonts w:eastAsia="Arial" w:cs="Calibri"/>
                <w:color w:val="231F20"/>
                <w:sz w:val="20"/>
                <w:szCs w:val="20"/>
                <w:lang w:eastAsia="en-US"/>
              </w:rPr>
              <w:t>1</w:t>
            </w:r>
          </w:p>
        </w:tc>
      </w:tr>
    </w:tbl>
    <w:p w:rsidR="00FE2774" w:rsidRDefault="00FE2774"/>
    <w:p w:rsidR="00555CD8" w:rsidRDefault="00555CD8"/>
    <w:p w:rsidR="00555CD8" w:rsidRDefault="00555CD8"/>
    <w:p w:rsidR="00555CD8" w:rsidRDefault="00555CD8"/>
    <w:p w:rsidR="00555CD8" w:rsidRDefault="00555CD8"/>
    <w:p w:rsidR="00555CD8" w:rsidRDefault="00555CD8"/>
    <w:p w:rsidR="00555CD8" w:rsidRDefault="00555CD8"/>
    <w:p w:rsidR="00555CD8" w:rsidRPr="00555CD8" w:rsidRDefault="00555CD8" w:rsidP="00555CD8">
      <w:pPr>
        <w:jc w:val="center"/>
        <w:rPr>
          <w:rFonts w:cstheme="minorHAnsi"/>
          <w:b/>
          <w:sz w:val="20"/>
          <w:szCs w:val="20"/>
          <w:u w:val="single"/>
        </w:rPr>
      </w:pPr>
      <w:r w:rsidRPr="00555CD8">
        <w:rPr>
          <w:rFonts w:cstheme="minorHAnsi"/>
          <w:b/>
          <w:sz w:val="20"/>
          <w:szCs w:val="20"/>
          <w:u w:val="single"/>
        </w:rPr>
        <w:lastRenderedPageBreak/>
        <w:t>2024-2025 EĞİTİM ÖĞRETİM YILI KİMYA DERSİ</w:t>
      </w:r>
    </w:p>
    <w:p w:rsidR="00555CD8" w:rsidRPr="00555CD8" w:rsidRDefault="00555CD8" w:rsidP="00555CD8">
      <w:pPr>
        <w:jc w:val="center"/>
        <w:rPr>
          <w:rFonts w:cstheme="minorHAnsi"/>
          <w:b/>
          <w:sz w:val="20"/>
          <w:szCs w:val="20"/>
          <w:u w:val="single"/>
        </w:rPr>
      </w:pPr>
      <w:r w:rsidRPr="00555CD8">
        <w:rPr>
          <w:rFonts w:cstheme="minorHAnsi"/>
          <w:b/>
          <w:sz w:val="20"/>
          <w:szCs w:val="20"/>
          <w:u w:val="single"/>
        </w:rPr>
        <w:t>11.SINIF 2.DÖNEM 2.YAZILI SENARYOLARI</w:t>
      </w:r>
    </w:p>
    <w:p w:rsidR="00555CD8" w:rsidRDefault="00555CD8" w:rsidP="00555CD8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SENARYO 6</w:t>
      </w:r>
    </w:p>
    <w:tbl>
      <w:tblPr>
        <w:tblStyle w:val="TableNormal"/>
        <w:tblW w:w="9930" w:type="dxa"/>
        <w:tblInd w:w="-4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816"/>
        <w:gridCol w:w="993"/>
      </w:tblGrid>
      <w:tr w:rsidR="00555CD8" w:rsidTr="00555CD8">
        <w:trPr>
          <w:trHeight w:val="635"/>
        </w:trPr>
        <w:tc>
          <w:tcPr>
            <w:tcW w:w="3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555CD8" w:rsidRDefault="00555C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ÜNİTE ADI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555CD8" w:rsidRDefault="00555C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555CD8" w:rsidRDefault="00555C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555CD8" w:rsidTr="00555CD8">
        <w:trPr>
          <w:trHeight w:val="875"/>
        </w:trPr>
        <w:tc>
          <w:tcPr>
            <w:tcW w:w="3121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SIVI ÇÖZELTİLER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555CD8" w:rsidRDefault="00555CD8" w:rsidP="003C73AC">
            <w:pPr>
              <w:pStyle w:val="TableParagraph"/>
              <w:numPr>
                <w:ilvl w:val="3"/>
                <w:numId w:val="1"/>
              </w:numPr>
              <w:tabs>
                <w:tab w:val="left" w:pos="818"/>
              </w:tabs>
              <w:spacing w:before="170"/>
              <w:ind w:hanging="7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Çözünen madde miktarı ile farklı derişim birimlerini ilişkilendirir.</w:t>
            </w:r>
          </w:p>
          <w:p w:rsidR="00555CD8" w:rsidRDefault="00555CD8" w:rsidP="003C73AC">
            <w:pPr>
              <w:pStyle w:val="TableParagraph"/>
              <w:numPr>
                <w:ilvl w:val="3"/>
                <w:numId w:val="1"/>
              </w:numPr>
              <w:tabs>
                <w:tab w:val="left" w:pos="818"/>
              </w:tabs>
              <w:spacing w:before="122"/>
              <w:ind w:hanging="7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Farklı derişimlerde çözeltiler hazırlar.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  <w:p w:rsidR="00555CD8" w:rsidRDefault="00555CD8">
            <w:pPr>
              <w:pStyle w:val="TableParagraph"/>
              <w:ind w:left="347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642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555CD8" w:rsidRDefault="00555CD8">
            <w:pPr>
              <w:rPr>
                <w:rFonts w:eastAsia="Arial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11.3.5.1.Çözünürlüğün sıcaklık ve basınçla ilişkisiniaçıklar.</w:t>
            </w:r>
          </w:p>
          <w:p w:rsidR="00555CD8" w:rsidRDefault="00555C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870"/>
        </w:trPr>
        <w:tc>
          <w:tcPr>
            <w:tcW w:w="3121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155" w:line="247" w:lineRule="auto"/>
              <w:ind w:right="8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55" w:line="247" w:lineRule="auto"/>
              <w:ind w:righ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ENERJİ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11.4.3.1.Bağ enerjileri ile tepkime entalpisi arasındaki ilişkiyi açıklar.</w:t>
            </w:r>
          </w:p>
          <w:p w:rsidR="00555CD8" w:rsidRDefault="00555CD8">
            <w:pPr>
              <w:pStyle w:val="TableParagraph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55CD8" w:rsidRDefault="00555CD8">
            <w:pPr>
              <w:pStyle w:val="TableParagraph"/>
              <w:ind w:lef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CD8" w:rsidTr="00555CD8">
        <w:trPr>
          <w:trHeight w:val="870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555CD8" w:rsidRDefault="00555CD8">
            <w:pPr>
              <w:rPr>
                <w:rFonts w:eastAsia="Arial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11.4.4.1.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Hess Yasasını açıklar.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902"/>
        </w:trPr>
        <w:tc>
          <w:tcPr>
            <w:tcW w:w="3121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155" w:line="247" w:lineRule="auto"/>
              <w:ind w:right="12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55" w:line="247" w:lineRule="auto"/>
              <w:ind w:right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HIZ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1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11.5.1.1.Kimyasal tepkimeler ile tanecik çarpışmaları arasındaki ilişkiyi açıklar.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902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555CD8" w:rsidRDefault="00555CD8">
            <w:pPr>
              <w:rPr>
                <w:rFonts w:eastAsia="Arial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11.5.1.2.Kimyasal tepkimelerin hızlarını açıklar.</w:t>
            </w:r>
          </w:p>
          <w:p w:rsidR="00555CD8" w:rsidRDefault="00555CD8">
            <w:pPr>
              <w:pStyle w:val="TableParagraph"/>
              <w:spacing w:before="123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11.5.2.1.Tepkime hızına etki eden faktörleri açıklar.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555CD8" w:rsidRDefault="00555CD8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55CD8" w:rsidRDefault="00555CD8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615"/>
        </w:trPr>
        <w:tc>
          <w:tcPr>
            <w:tcW w:w="3121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155" w:line="247" w:lineRule="auto"/>
              <w:ind w:right="15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55" w:line="247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DENGE</w:t>
            </w: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11.6.2.1.Dengeyi etkileyen faktörleri açıklar.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615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555CD8" w:rsidRDefault="00555CD8">
            <w:pPr>
              <w:rPr>
                <w:rFonts w:eastAsia="Arial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11.6.3.1.pH ve pOH kavramlarını suyun oto-iyonizasyonu üzerinden açıklar.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555CD8" w:rsidTr="00555CD8">
        <w:trPr>
          <w:trHeight w:val="615"/>
        </w:trPr>
        <w:tc>
          <w:tcPr>
            <w:tcW w:w="3121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555CD8" w:rsidRDefault="00555CD8">
            <w:pPr>
              <w:rPr>
                <w:rFonts w:eastAsia="Arial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11.6.3.2.Brönsted-Lowry asitlerini/bazlarını karşılaştırır.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5CD8" w:rsidRDefault="00555CD8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5CD8" w:rsidRDefault="00555CD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555CD8" w:rsidRDefault="00555CD8"/>
    <w:p w:rsidR="002264E0" w:rsidRDefault="002264E0"/>
    <w:p w:rsidR="002264E0" w:rsidRDefault="002264E0"/>
    <w:p w:rsidR="002264E0" w:rsidRDefault="002264E0"/>
    <w:p w:rsidR="002264E0" w:rsidRDefault="002264E0"/>
    <w:p w:rsidR="002264E0" w:rsidRDefault="002264E0"/>
    <w:p w:rsidR="002264E0" w:rsidRDefault="002264E0"/>
    <w:p w:rsidR="002264E0" w:rsidRDefault="002264E0"/>
    <w:p w:rsidR="002264E0" w:rsidRDefault="002264E0"/>
    <w:p w:rsidR="002264E0" w:rsidRDefault="002264E0" w:rsidP="002264E0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2024-2025 EĞİTİM ÖĞRETİM YILI KİMYA DERSİ</w:t>
      </w:r>
    </w:p>
    <w:p w:rsidR="002264E0" w:rsidRDefault="002264E0" w:rsidP="002264E0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12.SINIF 2.DÖNEM 2.YAZILI SENARYOLARI</w:t>
      </w:r>
    </w:p>
    <w:p w:rsidR="002264E0" w:rsidRDefault="002264E0" w:rsidP="002264E0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SENARYO 5</w:t>
      </w:r>
    </w:p>
    <w:tbl>
      <w:tblPr>
        <w:tblStyle w:val="TabloKlavuzu"/>
        <w:tblW w:w="9923" w:type="dxa"/>
        <w:tblInd w:w="-414" w:type="dxa"/>
        <w:tblLook w:val="04A0" w:firstRow="1" w:lastRow="0" w:firstColumn="1" w:lastColumn="0" w:noHBand="0" w:noVBand="1"/>
      </w:tblPr>
      <w:tblGrid>
        <w:gridCol w:w="3403"/>
        <w:gridCol w:w="5528"/>
        <w:gridCol w:w="992"/>
      </w:tblGrid>
      <w:tr w:rsidR="002264E0" w:rsidTr="002264E0">
        <w:trPr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0" w:rsidRDefault="00226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0" w:rsidRDefault="00226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0" w:rsidRDefault="00226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2264E0" w:rsidTr="002264E0">
        <w:trPr>
          <w:trHeight w:val="26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trHeight w:val="1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cantSplit/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12.3.6.1. Karboksilik asitleri sınıflandırarak adlarını, formüllerini ve kullanım alanlarını açıklar.</w:t>
            </w: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264E0" w:rsidTr="002264E0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E0" w:rsidRDefault="002264E0">
            <w:pPr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12.3.7.1. Esterlerin adlarını, formüllerini ve kullanım alanlarını açıklar.</w:t>
            </w:r>
          </w:p>
          <w:p w:rsidR="002264E0" w:rsidRDefault="002264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64E0" w:rsidRDefault="002264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2264E0" w:rsidRDefault="002264E0"/>
    <w:sectPr w:rsidR="0022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405"/>
    <w:multiLevelType w:val="multilevel"/>
    <w:tmpl w:val="087CF04E"/>
    <w:lvl w:ilvl="0">
      <w:start w:val="11"/>
      <w:numFmt w:val="decimal"/>
      <w:lvlText w:val="%1"/>
      <w:lvlJc w:val="left"/>
      <w:pPr>
        <w:ind w:left="817" w:hanging="737"/>
      </w:pPr>
      <w:rPr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817" w:hanging="737"/>
      </w:pPr>
      <w:rPr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817" w:hanging="737"/>
      </w:pPr>
      <w:rPr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17" w:hanging="737"/>
      </w:pPr>
      <w:rPr>
        <w:rFonts w:ascii="Arial" w:eastAsia="Arial" w:hAnsi="Arial" w:cs="Arial" w:hint="default"/>
        <w:color w:val="231F20"/>
        <w:spacing w:val="-14"/>
        <w:w w:val="100"/>
        <w:sz w:val="18"/>
        <w:szCs w:val="18"/>
        <w:lang w:val="tr-TR" w:eastAsia="en-US" w:bidi="ar-SA"/>
      </w:rPr>
    </w:lvl>
    <w:lvl w:ilvl="4">
      <w:numFmt w:val="bullet"/>
      <w:lvlText w:val="•"/>
      <w:lvlJc w:val="left"/>
      <w:pPr>
        <w:ind w:left="3726" w:hanging="737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453" w:hanging="737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180" w:hanging="737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5906" w:hanging="737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6633" w:hanging="737"/>
      </w:pPr>
      <w:rPr>
        <w:lang w:val="tr-TR" w:eastAsia="en-US" w:bidi="ar-SA"/>
      </w:rPr>
    </w:lvl>
  </w:abstractNum>
  <w:num w:numId="1">
    <w:abstractNumId w:val="0"/>
    <w:lvlOverride w:ilvl="0">
      <w:startOverride w:val="1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74"/>
    <w:rsid w:val="000770E8"/>
    <w:rsid w:val="002264E0"/>
    <w:rsid w:val="00555CD8"/>
    <w:rsid w:val="00D777EF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7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E27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55CD8"/>
    <w:pPr>
      <w:spacing w:after="0" w:line="240" w:lineRule="auto"/>
    </w:pPr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55C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7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E27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55CD8"/>
    <w:pPr>
      <w:spacing w:after="0" w:line="240" w:lineRule="auto"/>
    </w:pPr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55C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Odası</dc:creator>
  <cp:lastModifiedBy>YAL2024</cp:lastModifiedBy>
  <cp:revision>2</cp:revision>
  <dcterms:created xsi:type="dcterms:W3CDTF">2025-05-20T10:25:00Z</dcterms:created>
  <dcterms:modified xsi:type="dcterms:W3CDTF">2025-05-20T10:25:00Z</dcterms:modified>
</cp:coreProperties>
</file>